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auto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bCs/>
        </w:rPr>
        <w:t>Zarządzenie nr 4/2024</w:t>
      </w:r>
    </w:p>
    <w:p>
      <w:pPr>
        <w:pStyle w:val="Normal"/>
        <w:shd w:val="clear" w:color="auto" w:fill="auto"/>
        <w:jc w:val="center"/>
        <w:rPr/>
      </w:pPr>
      <w:r>
        <w:rPr>
          <w:rFonts w:ascii="Times New Roman" w:hAnsi="Times New Roman"/>
          <w:b/>
          <w:bCs/>
        </w:rPr>
        <w:t xml:space="preserve">Dyrektora Gminnego Przedszkola „Stokrotka” w Spytkowicach </w:t>
      </w:r>
    </w:p>
    <w:p>
      <w:pPr>
        <w:pStyle w:val="Normal"/>
        <w:shd w:val="clear" w:color="auto" w:fill="auto"/>
        <w:jc w:val="center"/>
        <w:rPr/>
      </w:pPr>
      <w:r>
        <w:rPr>
          <w:rFonts w:ascii="Times New Roman" w:hAnsi="Times New Roman"/>
          <w:b/>
          <w:bCs/>
        </w:rPr>
        <w:t>z dnia 01 lutego 2024 r.</w:t>
      </w:r>
    </w:p>
    <w:p>
      <w:pPr>
        <w:pStyle w:val="Normal"/>
        <w:shd w:val="clear" w:color="auto" w:fill="auto"/>
        <w:ind w:right="260"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 xml:space="preserve">w sprawie przyjęcia zasad określających zakres kompetencji osoby odpowiedzialnej </w:t>
      </w:r>
    </w:p>
    <w:p>
      <w:pPr>
        <w:pStyle w:val="Normal"/>
        <w:shd w:val="clear" w:color="auto" w:fill="auto"/>
        <w:ind w:right="260"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 xml:space="preserve">za przygotowanie personelu </w:t>
      </w:r>
      <w:r>
        <w:rPr>
          <w:rFonts w:ascii="Times New Roman" w:hAnsi="Times New Roman"/>
          <w:b/>
          <w:bCs/>
        </w:rPr>
        <w:t>przedszkola</w:t>
      </w:r>
      <w:r>
        <w:rPr>
          <w:rFonts w:ascii="Times New Roman" w:hAnsi="Times New Roman"/>
          <w:b/>
          <w:bCs/>
        </w:rPr>
        <w:t xml:space="preserve"> do stosowania standardów ochrony małoletnich, zasady przygotowania personelu do ich stosowania oraz sposoby dokumentowania tej</w:t>
      </w:r>
    </w:p>
    <w:p>
      <w:pPr>
        <w:pStyle w:val="Normal"/>
        <w:shd w:val="clear" w:color="auto" w:fill="auto"/>
        <w:spacing w:before="0" w:after="24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czynności</w:t>
      </w:r>
    </w:p>
    <w:p>
      <w:pPr>
        <w:pStyle w:val="Normal"/>
        <w:shd w:val="clear" w:color="auto" w:fill="auto"/>
        <w:spacing w:before="0" w:after="336"/>
        <w:ind w:hanging="0"/>
        <w:jc w:val="both"/>
        <w:rPr/>
      </w:pPr>
      <w:r>
        <w:rPr>
          <w:rFonts w:ascii="Times New Roman" w:hAnsi="Times New Roman"/>
        </w:rPr>
        <w:t>Na podstawie art. 22c ust. 1 pkt 5 i 7 ustawy z dnia 13 maja 2016 r. o przeciwdziałaniu zagrożeniom przestępczością na tle seksualnym (t. j. Dz. U. z 2023 r., poz. 1304 ze zm.) zarządzam, co następuje: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77"/>
        <w:jc w:val="center"/>
        <w:rPr/>
      </w:pPr>
      <w:bookmarkStart w:id="1" w:name="bookmark0"/>
      <w:r>
        <w:rPr/>
        <w:t>§ 1</w:t>
      </w:r>
      <w:bookmarkEnd w:id="1"/>
    </w:p>
    <w:p>
      <w:pPr>
        <w:pStyle w:val="Normal"/>
        <w:shd w:val="clear" w:color="auto" w:fill="auto"/>
        <w:spacing w:before="0" w:after="336"/>
        <w:ind w:hanging="0"/>
        <w:jc w:val="both"/>
        <w:rPr/>
      </w:pPr>
      <w:r>
        <w:rPr>
          <w:rFonts w:ascii="Times New Roman" w:hAnsi="Times New Roman"/>
        </w:rPr>
        <w:t xml:space="preserve">Wprowadza się zasady określające zakres kompetencji osoby odpowiedzialnej za przygotowanie personelu </w:t>
      </w:r>
      <w:r>
        <w:rPr>
          <w:rFonts w:ascii="Times New Roman" w:hAnsi="Times New Roman"/>
        </w:rPr>
        <w:t>przedszkola</w:t>
      </w:r>
      <w:r>
        <w:rPr>
          <w:rFonts w:ascii="Times New Roman" w:hAnsi="Times New Roman"/>
        </w:rPr>
        <w:t xml:space="preserve"> do stosowania standardów ochrony małoletnich, zasady przygotowania personelu do ich stosowania oraz sposoby dokumentowania tej czynności, stanowiące załącznik do niniejszego zarządzenia.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413"/>
        <w:jc w:val="center"/>
        <w:rPr/>
      </w:pPr>
      <w:bookmarkStart w:id="2" w:name="bookmark1"/>
      <w:r>
        <w:rPr/>
        <w:t>§ 2</w:t>
      </w:r>
      <w:bookmarkEnd w:id="2"/>
    </w:p>
    <w:p>
      <w:pPr>
        <w:sectPr>
          <w:footerReference w:type="default" r:id="rId2"/>
          <w:type w:val="nextPage"/>
          <w:pgSz w:w="11906" w:h="16838"/>
          <w:pgMar w:left="1378" w:right="1378" w:gutter="0" w:header="0" w:top="1416" w:footer="3" w:bottom="1416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auto"/>
        <w:spacing w:lineRule="exact" w:line="240" w:before="0" w:after="0"/>
        <w:ind w:hanging="0"/>
        <w:jc w:val="both"/>
        <w:rPr/>
      </w:pPr>
      <w:r>
        <w:rPr>
          <w:rFonts w:ascii="Times New Roman" w:hAnsi="Times New Roman"/>
        </w:rPr>
        <w:t>Zarządzenie obowiązuje od dnia 15 lutego 2024 r.</w:t>
      </w:r>
    </w:p>
    <w:p>
      <w:pPr>
        <w:pStyle w:val="Normal"/>
        <w:shd w:val="clear" w:color="auto" w:fill="auto"/>
        <w:spacing w:lineRule="exact" w:line="355" w:before="0" w:after="300"/>
        <w:ind w:right="20" w:hanging="0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Zasady określające zakres kompetencji osoby odpowiedzialnej za przygotowanie</w:t>
        <w:br/>
        <w:t xml:space="preserve">personelu </w:t>
      </w:r>
      <w:r>
        <w:rPr>
          <w:rFonts w:ascii="Times New Roman" w:hAnsi="Times New Roman"/>
          <w:b/>
          <w:bCs/>
        </w:rPr>
        <w:t>przedszkola</w:t>
      </w:r>
      <w:r>
        <w:rPr>
          <w:rFonts w:ascii="Times New Roman" w:hAnsi="Times New Roman"/>
          <w:b/>
          <w:bCs/>
        </w:rPr>
        <w:t xml:space="preserve"> do stosowania standardów ochrony małoletnich, zasady przygotowania personelu do ich stosowania oraz sposoby dokumentowania tej czynności</w:t>
      </w:r>
    </w:p>
    <w:p>
      <w:pPr>
        <w:pStyle w:val="Normal"/>
        <w:shd w:val="clear" w:color="auto" w:fill="auto"/>
        <w:spacing w:lineRule="exact" w:line="355"/>
        <w:ind w:right="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0"/>
        <w:ind w:left="400" w:hanging="0"/>
        <w:rPr>
          <w:rFonts w:ascii="Times New Roman" w:hAnsi="Times New Roman"/>
        </w:rPr>
      </w:pPr>
      <w:r>
        <w:rPr>
          <w:rFonts w:ascii="Times New Roman" w:hAnsi="Times New Roman"/>
        </w:rPr>
        <w:t>Przed nawiązaniem z osobą stosunku pracy lub przed dopuszczeniem osoby do innej działalności związanej z wychowaniem, edukacją, wypoczynkiem małoletnich lub z opieką nad nimi dyrektor uzyskuje informacje, czy dane tej osoby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>
      <w:pPr>
        <w:pStyle w:val="Normal"/>
        <w:numPr>
          <w:ilvl w:val="0"/>
          <w:numId w:val="1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300"/>
        <w:ind w:left="400" w:hanging="0"/>
        <w:rPr>
          <w:rFonts w:ascii="Times New Roman" w:hAnsi="Times New Roman"/>
        </w:rPr>
      </w:pPr>
      <w:r>
        <w:rPr>
          <w:rFonts w:ascii="Times New Roman" w:hAnsi="Times New Roman"/>
        </w:rPr>
        <w:t>Przez inną działalność związaną z wychowaniem, edukacją, wypoczynkiem małoletnich należy rozumieć w szczególności wykonywanie czynności związane z organizacją wypoczynku małoletnich, wykonywanie umów cywilnoprawnych związanych z wychowaniem, edukacją, wypoczynkiem małoletnich lub z opieką nad nimi.</w:t>
      </w:r>
    </w:p>
    <w:p>
      <w:pPr>
        <w:pStyle w:val="Normal"/>
        <w:shd w:val="clear" w:color="auto" w:fill="auto"/>
        <w:spacing w:lineRule="exact" w:line="355"/>
        <w:ind w:right="20" w:hanging="0"/>
        <w:jc w:val="center"/>
        <w:rPr/>
      </w:pPr>
      <w:r>
        <w:rPr>
          <w:rStyle w:val="Bodytext31"/>
          <w:rFonts w:ascii="Times New Roman" w:hAnsi="Times New Roman"/>
          <w:b/>
          <w:bCs/>
        </w:rPr>
        <w:t>§ 2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 xml:space="preserve">Osobą odpowiedzialną za przygotowanie personelu </w:t>
      </w:r>
      <w:r>
        <w:rPr>
          <w:rStyle w:val="Bodytext21"/>
          <w:rFonts w:ascii="Times New Roman" w:hAnsi="Times New Roman"/>
        </w:rPr>
        <w:t>przedszkola</w:t>
      </w:r>
      <w:r>
        <w:rPr>
          <w:rStyle w:val="Bodytext21"/>
          <w:rFonts w:ascii="Times New Roman" w:hAnsi="Times New Roman"/>
        </w:rPr>
        <w:t xml:space="preserve"> do stosowania standardów ochrony małoletnich jest dyrektor szkoły. Dyrektor może upoważnić wyznaczoną przez siebie osobę do przygotowania personelu szkoły do stosowania standardów ochrony małoletnich. Wzór upoważnienia został określony w załączniku Nr 1 do niniejszej procedury.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 xml:space="preserve">Osoba upoważniona przez dyrektora, o której mowa w ust. 1, musi legitymować się co najmniej 10 letnim doświadczeniem w pracy z osobami małoletnimi, uzyskanym w jednostkach oświaty, leczniczych lub pomocy społecznej. Dodatkowo musi posiadać niezbędną wiedzę pozwalającą na przeprowadzenie szkoleń pracowników </w:t>
      </w:r>
      <w:r>
        <w:rPr>
          <w:rStyle w:val="Bodytext21"/>
          <w:rFonts w:ascii="Times New Roman" w:hAnsi="Times New Roman"/>
        </w:rPr>
        <w:t>przedszkola</w:t>
      </w:r>
      <w:r>
        <w:rPr>
          <w:rStyle w:val="Bodytext21"/>
          <w:rFonts w:ascii="Times New Roman" w:hAnsi="Times New Roman"/>
        </w:rPr>
        <w:t>, obejmujących następujące zagadnienia: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>rozpoznawanie symptomów krzywdzenia małoletnich;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>procedury interwencji w przypadku podejrzeń krzywdzenia małoletnich,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740" w:hanging="340"/>
        <w:jc w:val="left"/>
        <w:rPr/>
      </w:pPr>
      <w:r>
        <w:rPr>
          <w:rStyle w:val="Bodytext21"/>
          <w:rFonts w:ascii="Times New Roman" w:hAnsi="Times New Roman"/>
        </w:rPr>
        <w:t>odpowiedzialność prawna pracowników szkoły, zobowiązanych do podejmowania interwencji w przypadku podejrzenia lub stwierdzenia krzywdzeniamałoletnich;</w:t>
      </w:r>
    </w:p>
    <w:p>
      <w:pPr>
        <w:pStyle w:val="Normal"/>
        <w:numPr>
          <w:ilvl w:val="0"/>
          <w:numId w:val="3"/>
        </w:numPr>
        <w:shd w:val="clear" w:color="auto" w:fill="auto"/>
        <w:tabs>
          <w:tab w:val="clear" w:pos="708"/>
          <w:tab w:val="left" w:pos="758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>stosowanie procedur „Niebieskiej Karty”.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>Szkolenia, o których mowa w ust. 2, są organizowane raz w roku, w terminie wskazanym przez dyrektora.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 xml:space="preserve">Osoba, o której mowa w ust. 1, zapoznaje pracowników ze standardami ochrony małoletnich oraz odbiera od każdego zatrudnionego pracownika oświadczenie o zapoznaniu się ze standardami ochrony małoletnich, obowiązującymi w </w:t>
      </w:r>
      <w:r>
        <w:rPr>
          <w:rStyle w:val="Bodytext21"/>
          <w:rFonts w:ascii="Times New Roman" w:hAnsi="Times New Roman"/>
        </w:rPr>
        <w:t>przedszkolu</w:t>
      </w:r>
      <w:r>
        <w:rPr>
          <w:rStyle w:val="Bodytext21"/>
          <w:rFonts w:ascii="Times New Roman" w:hAnsi="Times New Roman"/>
        </w:rPr>
        <w:t>. Wzór oświadczenia pracownika został określony w załączniku Nr 2 do niniejszej procedury.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54" w:leader="none"/>
        </w:tabs>
        <w:spacing w:lineRule="exact" w:line="355" w:before="0" w:after="0"/>
        <w:ind w:left="400" w:hanging="0"/>
        <w:rPr/>
      </w:pPr>
      <w:r>
        <w:rPr>
          <w:rStyle w:val="Bodytext21"/>
          <w:rFonts w:ascii="Times New Roman" w:hAnsi="Times New Roman"/>
        </w:rPr>
        <w:t xml:space="preserve">Pracownicy nowo zatrudnieni w </w:t>
      </w:r>
      <w:r>
        <w:rPr>
          <w:rStyle w:val="Bodytext21"/>
          <w:rFonts w:ascii="Times New Roman" w:hAnsi="Times New Roman"/>
        </w:rPr>
        <w:t>przedszkolu</w:t>
      </w:r>
      <w:r>
        <w:rPr>
          <w:rStyle w:val="Bodytext21"/>
          <w:rFonts w:ascii="Times New Roman" w:hAnsi="Times New Roman"/>
        </w:rPr>
        <w:t xml:space="preserve"> są zapoznawani ze standardami w pierwszym tygodniu pracy i w tym czasie jest od nich odbierane oświadczenie, o którym mowa w ust. 4.</w:t>
      </w:r>
    </w:p>
    <w:p>
      <w:p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60" w:leader="none"/>
        </w:tabs>
        <w:spacing w:lineRule="exact" w:line="355" w:before="0" w:after="0"/>
        <w:ind w:left="380" w:hanging="380"/>
        <w:jc w:val="left"/>
        <w:rPr/>
      </w:pPr>
      <w:r>
        <w:rPr>
          <w:rStyle w:val="Bodytext21"/>
          <w:rFonts w:ascii="Times New Roman" w:hAnsi="Times New Roman"/>
        </w:rPr>
        <w:t>Osoba, o której mowa w ust. 1 bierze udział w rekrutacji pracowników i w jej trakcie ocenia przygotowanie kandydata do pracy z dziećmi małoletnimi.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270" w:right="1375" w:gutter="0" w:header="0" w:top="907" w:footer="3" w:bottom="1263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2"/>
        </w:numPr>
        <w:shd w:val="clear" w:color="auto" w:fill="auto"/>
        <w:tabs>
          <w:tab w:val="clear" w:pos="708"/>
          <w:tab w:val="left" w:pos="360" w:leader="none"/>
        </w:tabs>
        <w:spacing w:lineRule="exact" w:line="355" w:before="0" w:after="0"/>
        <w:ind w:left="380" w:hanging="380"/>
        <w:jc w:val="left"/>
        <w:rPr/>
      </w:pPr>
      <w:r>
        <w:rPr>
          <w:rStyle w:val="Bodytext21"/>
          <w:rFonts w:ascii="Times New Roman" w:hAnsi="Times New Roman"/>
        </w:rPr>
        <w:t>Osoba, o której mowa w ust. 1 jest odpowiedzialna za przyjmowanie zgłoszeń o zdarzeniach zagrażających małoletniemu i udzielenie mu wsparcia.</w:t>
      </w:r>
    </w:p>
    <w:p>
      <w:pPr>
        <w:pStyle w:val="Normal"/>
        <w:shd w:val="clear" w:color="auto" w:fill="auto"/>
        <w:spacing w:lineRule="exact" w:line="274" w:before="0" w:after="687"/>
        <w:ind w:left="432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procedury określającej zakres kompetencji osoby odpowiedzialnej za przygotowanie personelu szkoły do stosowania standardów ochrony małoletnich, zasady przygotowania personelu do ich stosowaniaoraz sposoby dokumentowania tej czynności</w:t>
      </w:r>
    </w:p>
    <w:p>
      <w:pPr>
        <w:pStyle w:val="Normal"/>
        <w:shd w:val="clear" w:color="auto" w:fill="auto"/>
        <w:spacing w:lineRule="exact" w:line="240" w:before="0" w:after="53"/>
        <w:ind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miejscowość, dnia</w:t>
      </w:r>
    </w:p>
    <w:p>
      <w:pPr>
        <w:pStyle w:val="Normal"/>
        <w:shd w:val="clear" w:color="auto" w:fill="auto"/>
        <w:spacing w:lineRule="exact" w:line="240" w:before="0" w:after="1761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pieczęć placówki</w:t>
      </w:r>
    </w:p>
    <w:p>
      <w:pPr>
        <w:pStyle w:val="Normal"/>
        <w:shd w:val="clear" w:color="auto" w:fill="auto"/>
        <w:spacing w:lineRule="exact" w:line="355" w:before="0" w:after="392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Na podstawie art. 22c ust. 1 pkt 5 ustawy z dnia 13 maja 2016 r. o przeciwdziałaniu zagrożeniom przestępczością na tle seksualnym i ochronie małoletnich (t. j. Dz. U. z 2023 r., poz. 1304 ze zm.) oraz § 2 ust. 1 Zarządzenia w sprawie przyjęcia zasad określających zakres kompetencji osoby odpowiedzialnej za przygotowanie personelu szkoły do stosowania standardów ochrony małoletnich, zasady przygotowania personelu do ich stosowania oraz sposoby dokumentowania tej czynności</w:t>
      </w:r>
    </w:p>
    <w:p>
      <w:pPr>
        <w:pStyle w:val="Normal"/>
        <w:shd w:val="clear" w:color="auto" w:fill="auto"/>
        <w:spacing w:lineRule="exact" w:line="240" w:before="0" w:after="413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UPOWAŻNIAM</w:t>
      </w:r>
    </w:p>
    <w:p>
      <w:pPr>
        <w:pStyle w:val="Normal"/>
        <w:shd w:val="clear" w:color="auto" w:fill="auto"/>
        <w:tabs>
          <w:tab w:val="clear" w:pos="708"/>
          <w:tab w:val="left" w:pos="2314" w:leader="dot"/>
        </w:tabs>
        <w:spacing w:lineRule="exact" w:line="240" w:before="0" w:after="53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Panią/Pana </w:t>
        <w:tab/>
        <w:t xml:space="preserve"> do przygotowania personelu Gminnego Przedszkola „Stokrotka”</w:t>
      </w:r>
    </w:p>
    <w:p>
      <w:pPr>
        <w:pStyle w:val="Normal"/>
        <w:shd w:val="clear" w:color="auto" w:fill="auto"/>
        <w:tabs>
          <w:tab w:val="clear" w:pos="708"/>
          <w:tab w:val="left" w:pos="2314" w:leader="dot"/>
        </w:tabs>
        <w:spacing w:lineRule="exact" w:line="240" w:before="0" w:after="53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w Spytkowicach do stosowania standardów ochrony małoletnich.</w:t>
      </w:r>
    </w:p>
    <w:p>
      <w:pPr>
        <w:pStyle w:val="Normal"/>
        <w:shd w:val="clear" w:color="auto" w:fill="auto"/>
        <w:spacing w:lineRule="exact" w:line="240" w:before="0" w:after="1488"/>
        <w:ind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auto"/>
        <w:spacing w:lineRule="exact" w:line="240" w:before="0" w:after="1488"/>
        <w:ind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dyrektora</w:t>
      </w:r>
    </w:p>
    <w:p>
      <w:pPr>
        <w:pStyle w:val="Normal"/>
        <w:shd w:val="clear" w:color="auto" w:fill="auto"/>
        <w:spacing w:lineRule="exact" w:line="240" w:before="0" w:after="0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Odebrałem podpis upoważnionego</w:t>
      </w:r>
    </w:p>
    <w:p>
      <w:pPr>
        <w:pStyle w:val="Normal"/>
        <w:shd w:val="clear" w:color="auto" w:fill="auto"/>
        <w:spacing w:lineRule="exact" w:line="274" w:before="0" w:after="1047"/>
        <w:ind w:left="430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auto"/>
        <w:spacing w:lineRule="exact" w:line="274" w:before="0" w:after="1047"/>
        <w:ind w:left="430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procedury określającej zakres kompetencji osoby odpowiedzialnej za przygotowanie personelu szkoły do stosowania standardów ochrony małoletnich, zasady przygotowania personelu do ich stosowaniaoraz sposoby dokumentowania tej czynności</w:t>
      </w:r>
    </w:p>
    <w:p>
      <w:pPr>
        <w:pStyle w:val="Normal"/>
        <w:shd w:val="clear" w:color="auto" w:fill="auto"/>
        <w:spacing w:lineRule="exact" w:line="240" w:before="0" w:after="756"/>
        <w:ind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miejscowość, dnia</w:t>
      </w:r>
    </w:p>
    <w:p>
      <w:pPr>
        <w:pStyle w:val="Normal"/>
        <w:shd w:val="clear" w:color="auto" w:fill="auto"/>
        <w:spacing w:lineRule="exact" w:line="240" w:before="0" w:after="312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OŚWIADCZAM</w:t>
      </w:r>
    </w:p>
    <w:p>
      <w:pPr>
        <w:pStyle w:val="Normal"/>
        <w:shd w:val="clear" w:color="auto" w:fill="auto"/>
        <w:spacing w:before="0" w:after="996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że zapoznałem się/ zapoznałam się ze standardami ochrony małoletnich, obowiązującymi w Gminnym Przedszkolu „Stokrotka” w Spytkowicach i zostałem/zostałam poinstruowany/poinstruowana o konieczności i zasadach ich stosowania.</w:t>
      </w:r>
    </w:p>
    <w:p>
      <w:pPr>
        <w:pStyle w:val="Normal"/>
        <w:shd w:val="clear" w:color="auto" w:fill="auto"/>
        <w:spacing w:lineRule="exact" w:line="240" w:before="0" w:after="0"/>
        <w:ind w:left="65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Podpis pracownika</w:t>
      </w:r>
    </w:p>
    <w:sectPr>
      <w:footerReference w:type="default" r:id="rId5"/>
      <w:footerReference w:type="first" r:id="rId6"/>
      <w:type w:val="nextPage"/>
      <w:pgSz w:w="11906" w:h="16838"/>
      <w:pgMar w:left="1379" w:right="1381" w:gutter="0" w:header="0" w:top="1402" w:footer="3" w:bottom="27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 Condensed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3761740</wp:posOffset>
              </wp:positionH>
              <wp:positionV relativeFrom="page">
                <wp:posOffset>10153650</wp:posOffset>
              </wp:positionV>
              <wp:extent cx="60960" cy="137795"/>
              <wp:effectExtent l="0" t="0" r="0" b="635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6.2pt;margin-top:799.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3761740</wp:posOffset>
              </wp:positionH>
              <wp:positionV relativeFrom="page">
                <wp:posOffset>10153650</wp:posOffset>
              </wp:positionV>
              <wp:extent cx="60960" cy="137795"/>
              <wp:effectExtent l="0" t="0" r="0" b="635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6.2pt;margin-top:799.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3761740</wp:posOffset>
              </wp:positionH>
              <wp:positionV relativeFrom="page">
                <wp:posOffset>10153650</wp:posOffset>
              </wp:positionV>
              <wp:extent cx="60960" cy="137795"/>
              <wp:effectExtent l="0" t="0" r="0" b="635"/>
              <wp:wrapNone/>
              <wp:docPr id="5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96.2pt;margin-top:799.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 Condensed" w:hAnsi="DejaVu Sans Condensed" w:eastAsia="DejaVu Sans Condensed" w:cs="DejaVu Sans Condensed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DejaVu Sans Condensed" w:hAnsi="DejaVu Sans Condensed" w:eastAsia="DejaVu Sans Condensed" w:cs="DejaVu Sans Condensed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Pr>
      <w:color w:val="0066CC"/>
      <w:u w:val="single"/>
    </w:rPr>
  </w:style>
  <w:style w:type="character" w:styleId="Bodytext3" w:customStyle="1">
    <w:name w:val="Body text (3)_"/>
    <w:basedOn w:val="DefaultParagraphFont"/>
    <w:link w:val="Bodytext3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erorfooter" w:customStyle="1">
    <w:name w:val="Header or footer_"/>
    <w:basedOn w:val="DefaultParagraphFont"/>
    <w:link w:val="Headerorfooter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Headerorfooter1" w:customStyle="1">
    <w:name w:val="Header or footer"/>
    <w:basedOn w:val="Headerorfooter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styleId="Bodytext2" w:customStyle="1">
    <w:name w:val="Body text (2)_"/>
    <w:basedOn w:val="DefaultParagraphFont"/>
    <w:link w:val="Bodytext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1" w:customStyle="1">
    <w:name w:val="Heading #1_"/>
    <w:basedOn w:val="DefaultParagraphFont"/>
    <w:link w:val="Heading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31" w:customStyle="1">
    <w:name w:val="Body text (3)"/>
    <w:basedOn w:val="Bodytext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Bodytext21" w:customStyle="1">
    <w:name w:val="Body text (2)"/>
    <w:basedOn w:val="Bodytext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2" w:customStyle="1">
    <w:name w:val="Body text (3)"/>
    <w:basedOn w:val="Normal"/>
    <w:link w:val="Bodytext3"/>
    <w:qFormat/>
    <w:pPr>
      <w:shd w:val="clear" w:color="auto" w:fill="FFFFFF"/>
      <w:spacing w:lineRule="exact" w:line="360"/>
      <w:jc w:val="center"/>
    </w:pPr>
    <w:rPr>
      <w:rFonts w:ascii="Times New Roman" w:hAnsi="Times New Roman" w:eastAsia="Times New Roman" w:cs="Times New Roman"/>
      <w:b/>
      <w:bCs/>
    </w:rPr>
  </w:style>
  <w:style w:type="paragraph" w:styleId="Headerorfooter2" w:customStyle="1">
    <w:name w:val="Header or footer"/>
    <w:basedOn w:val="Normal"/>
    <w:link w:val="Headerorfooter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9"/>
      <w:szCs w:val="19"/>
    </w:rPr>
  </w:style>
  <w:style w:type="paragraph" w:styleId="Bodytext22" w:customStyle="1">
    <w:name w:val="Body text (2)"/>
    <w:basedOn w:val="Normal"/>
    <w:link w:val="Bodytext2"/>
    <w:qFormat/>
    <w:pPr>
      <w:shd w:val="clear" w:color="auto" w:fill="FFFFFF"/>
      <w:spacing w:lineRule="exact" w:line="360" w:before="240" w:after="240"/>
      <w:ind w:hanging="400"/>
      <w:jc w:val="both"/>
    </w:pPr>
    <w:rPr>
      <w:rFonts w:ascii="Times New Roman" w:hAnsi="Times New Roman" w:eastAsia="Times New Roman" w:cs="Times New Roman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tLeast" w:line="0" w:before="240" w:after="24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LibreOffice/7.5.2.2$Windows_X86_64 LibreOffice_project/53bb9681a964705cf672590721dbc85eb4d0c3a2</Application>
  <AppVersion>15.0000</AppVersion>
  <Pages>5</Pages>
  <Words>699</Words>
  <Characters>4645</Characters>
  <CharactersWithSpaces>5291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2024-02-02T11:10:00Z</dcterms:created>
  <dc:creator>Tomasz Sutor</dc:creator>
  <dc:description/>
  <dc:language>pl-PL</dc:language>
  <cp:lastModifiedBy/>
  <cp:lastPrinted>2024-02-05T11:27:28Z</cp:lastPrinted>
  <dcterms:modified xsi:type="dcterms:W3CDTF">2024-02-05T11:52:02Z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